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08.0" w:type="dxa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74711224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https://www.viaduk.ru/travel/tur-na-8-dney-pyatigorsk-zheleznovodsk-prielbruse-dombay-kislovodsk-groznyy-derbent-2021g/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на Кавказ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на Кавказ на 8 дней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Пятигорск — Железноводск — Приэльбрусье — Домбай — Кисловодск — Назрань — Грозный — Махачкала — Дербент 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«Весь Кавказ: от Кавминвод до Дагестана»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 дней — 7 ночей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Всеохватывающий тур по территориям республик Северного Кавказа с посещением самых легендарных и знаменитых памятников природы, истории, культуры: горы, каньоны, озера, водопады, ущелья и поляны; древние крепости, поселения, башенные комплексы, храмы, некрополи, мечети и небоскребы.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Апрель: 08.04 – 15.04; 24.04 – 01.05; 20.05 – 27.05; 24.06 – 01.07; Июль: 08.07 – 15.07; 22.07 – 29.07; Август: 05.08 – 12.08; 19.08 – 26.08; Сентябрь: 09.09 – 16.09; 23.09 – 30.09; Октябрь: 07.10 – 14.10; 21.10 – 28.10; Ноябрь: 18.11 – 25.11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Праздничные заезды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Февраль: 19.02 - 26.02;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Март: 04.03 – 11.03;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Май: 06.05 – 13.05; Июнь: 10.06 – 17.06; Ноябрь: 04.11 – 11.11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Заселение в гостиниц</w:t>
      </w:r>
      <w:r w:rsidDel="00000000" w:rsidR="00000000" w:rsidRPr="00000000">
        <w:rPr>
          <w:rFonts w:ascii="Arial" w:cs="Arial" w:eastAsia="Arial" w:hAnsi="Arial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Курортный сбор в гостинице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100р./чел. в сутки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12.30 — 13.00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Ориентировочно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 Встреча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экскурсоводом в вестибюле гостиницы.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Пятигорску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познакомитесь с богатой историей Пятигорска и получите наслаждение от прекрасных видов. Полюбуетесь знаменитым озером «Провал» и Эоловой арфой, посетите парк «Цветник» и место дуэли Лермонтова.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Железноводск (20 км)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Железноводску: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город также является знаменитым российским курортом. Открытие источников в XIX веке положило начало городу, но лечиться целебной водой сюда приезжали задолго до появления санаториев. Экскурсия по Железноводску познакомит Вас с его изящной архитектурой и богатой историей. Вас ждет дегустация невероятно полезной воды из горячего источника.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ланч-бокс. </w:t>
        <w:br w:type="textWrapping"/>
        <w:t xml:space="preserve">Ранний выезд на экскурсионную программу.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Приэльбрусье (160 км).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Национальный парк «Приэльбрусье»: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замечательный горный край, про который пели Владимир Высоцкий и Юрий Визбор, располагается на высоте 2 400 метров, и вы сможете подняться туда вместе с опытным проводником. Заснеженный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Эльбрус завораживает своей недоступностью и красотой. Этот край богат лесами, отличается живописностью пейзажей, прозрачностью рек и озер, чистотой воздуха.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Автобусный маршрут заканчивается у селения Терскол на поляне Азау.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Экологический сбор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гору Чегет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Эльбрус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(Стоимость уточняется во время тура)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Кисловодск (50 км).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Пешеходная прогулка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 аллеям одного из лучших парков на Северном Кавказе. Вас ожидают настоящие диковинки - Каскадная лестница, мостик Дамский каприз, Зеркальный пруд, Стеклянные струи…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 Вас будет возможность попробовать три вида кисловодского нарзана в Главной Нарзанной галерее.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в Пятигорск. Свободное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ланч-бокс.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Ранний выезд на экскурсионную программу.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п. Домбай – знаменитый горнолыжный курорт (190км).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Домбай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 долина, со всех сторон ограниченная горами, так называемый «горный цирк». </w:t>
        <w:br w:type="textWrapping"/>
        <w:t xml:space="preserve">Знаменитая Домбайская долина – часть Тебердинского заповедника. Когда-то здесь жили крупнейшие зубры. Отсюда и пошло название «Домбай», что в переводе означает «Зубр». Здесь высочайшая точка Западного Кавказа – гора Домбай-Ульген («Убитый зубр»), высота 4047 м над уровнем моря.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Канатная дорога на Домбае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(Стоимость уточняется во время тура)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ланч-бокс.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Ранний выезд на экскурсионную программу.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Ингушетию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(г. Назрань)  (200км).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0"/>
          <w:szCs w:val="20"/>
          <w:u w:val="none"/>
          <w:shd w:fill="auto" w:val="clear"/>
          <w:vertAlign w:val="baseline"/>
          <w:rtl w:val="0"/>
        </w:rPr>
        <w:t xml:space="preserve">Мемориал Памяти и Славы: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2"/>
          <w:sz w:val="18"/>
          <w:szCs w:val="18"/>
          <w:u w:val="none"/>
          <w:shd w:fill="auto" w:val="clear"/>
          <w:vertAlign w:val="baseline"/>
          <w:rtl w:val="0"/>
        </w:rPr>
        <w:t xml:space="preserve">Сложное и гармоничное сочетание архитектуры и природы образуют мемориальный комплекс, посвященный важнейшим памятным датам, трагическим и торжественным событиям в истории республики Ингушетия.</w:t>
      </w: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202122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Чечню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(г. Грозный)  (86 км).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Грозному: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храм Архангела Михаила, набережная реки Сунжа, одна из самых красивых и больших мечетей России — «Сердце Чечни», мемориальный комплекс Славы имени Ахмата Кадырова, подъем на смотровую площадку с панорамным видом на город, которая находится в одном из небоскребов  Грозный-Сити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смотровую площадку «Грозный Сити»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кафе города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(Стоимость уточняется во время тура)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Аргун (20 км).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мечети «Сердце матери»: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Это первая мечеть на территории России, выполненная в ультрасовременном виде,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построена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  в стиле хай-тек. Днем, в зависимости от погоды, своды мечети меняют оттенки цветов — от светло-серого до бирюзово-синего. Ночью мечеть и прилегающие территории освещаются разноцветными светодиодными лампами и прожекторами. Мечеть рассчитана на 15 тысяч человек и имеет 26 входных дверей. Вдоль лестницы, которая ведет к центральному входу, стекают два ручья с рыбами.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Дагестан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на Бархан Сары-Кум (160 км).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Бархан Сары-Кум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 один из самых высоких в мире. Его высота составляет более 250 метров, а размер и форма вершин постоянно меняются по воле ветров. Возраст его исчисляется сотнями тысяч лет. Над тайной происхождения этого чуда природы бьется уже не одно поколение ученых.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архан Сары-Кум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200р./чел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.)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в г. Махачкала (30 км).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 Свободное время.    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Дербент  (135 км).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Дербенту: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Совсем недавно Дербент отпраздновал свой двухтысячелетний юбилей, однако, существуют археологические свидетельства, что история города уходит больше чем на 5 тысяч лет! Начнется знакомство с городом с посещения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цитадели «Нарын-Кала»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настоящей древней крепости, в которой сохранилась былая мощь этих Каспийских ворот. Далее Вы пройдетесь по старому городу и  окунетесь в необычную атмосферу старого города.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Крепость Нарын-Кала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(200р./чел.),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Девичьи Бани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150р./чел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Мастер-класс по приготовлению национального дагестанского блюда «Чуду».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В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красивом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доме в этническом стиле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гостеприимная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хозяйка поделиться с вами своими секретами по приготовлению этого вкусного блюда из теста на воде с разнообразными начинками.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кафе города.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Прогулка по современной части Дербента: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И здесь вас ждет много интересного — во время прогулки по парку имени Низами Гянджеви, вы сможете обнаружить развалины древней крепостной стены, маяк построенный из дерева в 1853г. (в 1866 году его перестроили и он стал каменным), самый большой мультимедийный фонтан России... Пройдясь по городской набережной,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полюбуетесь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Каспийским морем...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местного рынка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 здесь можно будет купить замечательные сувениры из Дагестана.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Махачкалу.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аул Балхар (140 км).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Мастер-класс по гончарному ремеслу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Хранительница женского балхарского ремесла расскажет вам о тонкостях создания керамических изделий.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Чиркейскую ГЭС (140 км).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Чиркейская ГЭС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вторая по высоте плотине в России (232, 5 м). Вы своими глазами увидите это, поистине впечатляющее сооружение, настоящий архитектурный шедевр человечества. Чиркейская ГЭС образовала огромное озеро в узком ущелье реки Сулак – Чиркейское водохранилище, так называемое «Чиркейское море», площадью 42,5 кв. км (посещение по погоде и состоянию дороги). Его береговая линия сильно изрезана, местами встречаются каньоны и пещеры. Местные живописные пейзажи отдаленно напоминают фьорды Норвегии.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дополнительную плату, по желанию (оплата на месте)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Катание на лодках по Чиркейскому водохранилищу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1000р./чел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.).                     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Сулакский каньон - настоящее чудо этих мест: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Его нередко сравнивают с Великим каньоном в Америке - дагестанский собрат выглядит не менее впечатляюще, а на деле, оказывается еще и глубже! Только представьте – высота 1920 метров! Местами каньон расширяется настолько, что не видно противоположную сторону, а Сулак, одна из самых полноводных рек в Дагестане, кажется ниточкой на дне.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дополнительную плату, по желанию (оплата на месте)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пещеры и навесного моста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этнокомлекса ГЛАВРЫБА — Поздний 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(Стоимость уточняется во время тура)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   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Пятигорск   (400 км).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Позднее 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в гостинице. Отдых.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8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Свободный день.   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ФИРМА ОСТАВЛЯЕТ ЗА СОБОЙ ПРАВО ИЗМЕНЯТЬ ПОРЯДОК ПРОВЕДЕНИЯ ЭКСКУРСИЙ!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0.0" w:type="dxa"/>
        <w:jc w:val="left"/>
        <w:tblInd w:w="-108.0" w:type="dxa"/>
        <w:tblLayout w:type="fixed"/>
        <w:tblLook w:val="0000"/>
      </w:tblPr>
      <w:tblGrid>
        <w:gridCol w:w="7005"/>
        <w:gridCol w:w="1770"/>
        <w:gridCol w:w="1735"/>
        <w:tblGridChange w:id="0">
          <w:tblGrid>
            <w:gridCol w:w="7005"/>
            <w:gridCol w:w="1770"/>
            <w:gridCol w:w="173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ночей / Гостиница (г. Пятигорск),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ночи / Гостиница (республика Дагестан)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«Машук»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74900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61600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«Интурист»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80100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63850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Конгресс-отель «Бештау»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87900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67100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ВКЛЮЧЕНО: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Проживание в гостиницах, - Питание: 7 завтраков + 1 обед, - Транспортное обслуживание: по всему маршруту, - Сопровождение профессиональным гидом-экскурсоводом: по программе,               - Экскурсионная программа: по программе, - Мастер-класс по изготовлению «Чуду», Мастер-класс гончарного ремесла.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Курортный сбор – 100р./взр./день (оплачивается в гостинице при заселении);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Экологический сбор в Приэльбрусье – 200р./чел</w:t>
        <w:br w:type="textWrapping"/>
        <w:t xml:space="preserve">- Посещение 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архан Сары-Кум — 200р./чел.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месте, по желанию: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ЖД вокзал г. Пятигорска-гостиница -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 за машину;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 Аэропорт (или ЖД вокзал) Минеральные Воды - отель </w:t>
      </w:r>
      <w:r w:rsidDel="00000000" w:rsidR="00000000" w:rsidRPr="00000000">
        <w:rPr>
          <w:rFonts w:ascii="Arial" w:cs="Arial" w:eastAsia="Arial" w:hAnsi="Arial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руб. машину;</w:t>
        <w:br w:type="textWrapping"/>
        <w:t xml:space="preserve">- Канатные дороги в Приэльбрусье: Чегет -</w:t>
      </w:r>
      <w:r w:rsidDel="00000000" w:rsidR="00000000" w:rsidRPr="00000000">
        <w:rPr>
          <w:rFonts w:ascii="Arial" w:cs="Arial" w:eastAsia="Arial" w:hAnsi="Arial"/>
          <w:rtl w:val="0"/>
        </w:rPr>
        <w:t xml:space="preserve">900 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Эльбрус - 1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Канатные дороги в Домбае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р./чел.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Подъем на смотровую площадку «Грозный Сити» - 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00р./чел., </w:t>
        <w:br w:type="textWrapping"/>
        <w:t xml:space="preserve">- Крепость Нарын-Кала (входной билет) — 200р./чел.,                                                                  </w:t>
        <w:br w:type="textWrapping"/>
        <w:t xml:space="preserve">- Девичьи Бани (входной билет) — 150р./чел.,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 Катание на лодках по Чиркейскому водохранилищу – 1000 р./чел.  </w:t>
        <w:br w:type="textWrapping"/>
        <w:t xml:space="preserve">- Посещение пещеры и навесного моста (Сулакский каньон) —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р./чел.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Обеды, Ужины.                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ДОПОЛНИТЕЛЬНЫХ СУТОК В ГОСТИНИЦАХ  (НЕТТО):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0.0" w:type="dxa"/>
        <w:jc w:val="left"/>
        <w:tblInd w:w="-55.0" w:type="dxa"/>
        <w:tblLayout w:type="fixed"/>
        <w:tblLook w:val="0000"/>
      </w:tblPr>
      <w:tblGrid>
        <w:gridCol w:w="5944"/>
        <w:gridCol w:w="4816"/>
        <w:tblGridChange w:id="0">
          <w:tblGrid>
            <w:gridCol w:w="5944"/>
            <w:gridCol w:w="481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«Машук»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«Интурист»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 1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 1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Бизнес-отель «Бештау» 3*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225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Участники путешествия должны иметь теплые вещи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(брюки, свитер, теплая куртка, шапка, шарф), обувь спортивного типа, солнцезащитные очки, солнцезащитный крем, купальные принадлежности.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ходе тура предполагаются ранние выезды на экскурсии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(Эльбрус, Домбай, переезд в Дагестан), поэтому вместо завтраков в гостиницах предлагается сухой паек.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-1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Во время путешествия необходимо иметь наличные деньги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на дополнительные расходы. </w:t>
        <w:br w:type="textWrapping"/>
        <w:t xml:space="preserve">Банковские карты для оплаты принимаются не везде.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Время и место сбора группы в первый день: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13.10 — отель «Бештау», 13.25 — отель «Машук», 13.35 — отель «Интурист»</w:t>
      </w:r>
    </w:p>
    <w:sectPr>
      <w:pgSz w:h="16838" w:w="11906" w:orient="portrait"/>
      <w:pgMar w:bottom="426" w:top="567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5">
    <w:name w:val="Заголовок 5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6">
    <w:name w:val="Заголовок 6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8">
    <w:name w:val="Заголовок 8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9">
    <w:name w:val="Заголовок 9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eastAsia="Times New Roman" w:hAnsi="Arial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5">
    <w:name w:val="Название5"/>
    <w:basedOn w:val="Базовый"/>
    <w:next w:val="Название5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5">
    <w:name w:val="Указатель5"/>
    <w:basedOn w:val="Базовый"/>
    <w:next w:val="Указатель5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4">
    <w:name w:val="Название4"/>
    <w:basedOn w:val="Базовый"/>
    <w:next w:val="Название4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4">
    <w:name w:val="Указатель4"/>
    <w:basedOn w:val="Базовый"/>
    <w:next w:val="Указатель4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Базовый"/>
    <w:next w:val="Схемадокумента1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1">
    <w:name w:val="Основной текст 21"/>
    <w:basedOn w:val="Базовый"/>
    <w:next w:val="Основнойтекст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Базовый"/>
    <w:next w:val="Основнойтекст31"/>
    <w:autoRedefine w:val="0"/>
    <w:hidden w:val="0"/>
    <w:qFormat w:val="0"/>
    <w:pPr>
      <w:widowControl w:val="1"/>
      <w:tabs>
        <w:tab w:val="left" w:leader="none" w:pos="4501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Базовый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тандартныйHTML">
    <w:name w:val="Стандартный HTML"/>
    <w:basedOn w:val="Базовый"/>
    <w:next w:val="Стандартный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i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widowControl w:val="1"/>
      <w:tabs>
        <w:tab w:val="left" w:leader="none" w:pos="737"/>
      </w:tabs>
      <w:suppressAutoHyphens w:val="0"/>
      <w:spacing w:line="210" w:lineRule="atLeast"/>
      <w:ind w:left="0" w:right="0"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списка">
    <w:name w:val="Заголовок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списка">
    <w:name w:val="Содержимое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Горизонтальнаялиния">
    <w:name w:val="Горизонтальная линия"/>
    <w:basedOn w:val="Базовый"/>
    <w:next w:val="Основнойтекст"/>
    <w:autoRedefine w:val="0"/>
    <w:hidden w:val="0"/>
    <w:qFormat w:val="0"/>
    <w:pPr>
      <w:widowControl w:val="1"/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2"/>
      <w:szCs w:val="12"/>
      <w:effect w:val="none"/>
      <w:vertAlign w:val="baseline"/>
      <w:cs w:val="0"/>
      <w:em w:val="none"/>
      <w:lang w:bidi="ar-SA" w:eastAsia="zh-CN" w:val="ru-RU"/>
    </w:rPr>
  </w:style>
  <w:style w:type="paragraph" w:styleId="Цитата1">
    <w:name w:val="Цитата1"/>
    <w:basedOn w:val="Базовый"/>
    <w:next w:val="Цитата1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t1">
    <w:name w:val="cat1"/>
    <w:basedOn w:val="Базовый"/>
    <w:next w:val="cat1"/>
    <w:autoRedefine w:val="0"/>
    <w:hidden w:val="0"/>
    <w:qFormat w:val="0"/>
    <w:pPr>
      <w:widowControl w:val="1"/>
      <w:suppressAutoHyphens w:val="1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Базовый"/>
    <w:next w:val="Абзацсписка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f095w2sTdmjCBBe93C/jehCX0g==">CgMxLjA4AHIhMVFIMG9NaFZkX3NBdWpuUk92ejd2LTJtT0FuMllxb1I5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2022-05-16T10:41:00Z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